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E" w:rsidRPr="00B3296E" w:rsidRDefault="00B3296E" w:rsidP="00B3296E">
      <w:pPr>
        <w:pStyle w:val="NormalWeb"/>
        <w:rPr>
          <w:rFonts w:ascii="Trebuchet MS" w:hAnsi="Trebuchet MS"/>
        </w:rPr>
      </w:pPr>
      <w:r w:rsidRPr="00B3296E">
        <w:rPr>
          <w:rFonts w:ascii="Trebuchet MS" w:hAnsi="Trebuchet MS"/>
          <w:b/>
        </w:rPr>
        <w:t>"</w:t>
      </w:r>
      <w:proofErr w:type="gramStart"/>
      <w:r w:rsidRPr="00B3296E">
        <w:rPr>
          <w:rFonts w:ascii="Trebuchet MS" w:hAnsi="Trebuchet MS"/>
          <w:b/>
        </w:rPr>
        <w:t>related</w:t>
      </w:r>
      <w:proofErr w:type="gramEnd"/>
      <w:r w:rsidRPr="00B3296E">
        <w:rPr>
          <w:rFonts w:ascii="Trebuchet MS" w:hAnsi="Trebuchet MS"/>
          <w:b/>
        </w:rPr>
        <w:t xml:space="preserve"> goods and services"</w:t>
      </w:r>
      <w:r w:rsidRPr="00B3296E">
        <w:rPr>
          <w:rFonts w:ascii="Trebuchet MS" w:hAnsi="Trebuchet MS"/>
        </w:rPr>
        <w:t xml:space="preserve"> for </w:t>
      </w:r>
      <w:hyperlink r:id="rId5" w:anchor="construction_work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construction work</w:t>
        </w:r>
      </w:hyperlink>
      <w:r w:rsidRPr="00B3296E">
        <w:rPr>
          <w:rFonts w:ascii="Trebuchet MS" w:hAnsi="Trebuchet MS"/>
        </w:rPr>
        <w:t xml:space="preserve">— </w:t>
      </w:r>
    </w:p>
    <w:p w:rsidR="00B3296E" w:rsidRPr="00B3296E" w:rsidRDefault="00B3296E" w:rsidP="00B3296E">
      <w:pPr>
        <w:pStyle w:val="NormalWeb"/>
        <w:rPr>
          <w:rFonts w:ascii="Trebuchet MS" w:hAnsi="Trebuchet MS"/>
        </w:rPr>
      </w:pPr>
      <w:r w:rsidRPr="00B3296E">
        <w:rPr>
          <w:rFonts w:ascii="Trebuchet MS" w:hAnsi="Trebuchet MS"/>
        </w:rPr>
        <w:t xml:space="preserve">        (a)     </w:t>
      </w:r>
      <w:proofErr w:type="gramStart"/>
      <w:r w:rsidRPr="00B3296E">
        <w:rPr>
          <w:rFonts w:ascii="Trebuchet MS" w:hAnsi="Trebuchet MS"/>
        </w:rPr>
        <w:t>includes</w:t>
      </w:r>
      <w:proofErr w:type="gramEnd"/>
      <w:r w:rsidRPr="00B3296E">
        <w:rPr>
          <w:rFonts w:ascii="Trebuchet MS" w:hAnsi="Trebuchet MS"/>
        </w:rPr>
        <w:t xml:space="preserve"> goods of the following kind: </w:t>
      </w:r>
    </w:p>
    <w:p w:rsidR="00B3296E" w:rsidRPr="00B3296E" w:rsidRDefault="00B3296E" w:rsidP="00B3296E">
      <w:pPr>
        <w:pStyle w:val="NormalWeb"/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              (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)   </w:t>
      </w:r>
      <w:proofErr w:type="gramStart"/>
      <w:r w:rsidRPr="00B3296E">
        <w:rPr>
          <w:rFonts w:ascii="Trebuchet MS" w:hAnsi="Trebuchet MS"/>
        </w:rPr>
        <w:t>materials</w:t>
      </w:r>
      <w:proofErr w:type="gramEnd"/>
      <w:r w:rsidRPr="00B3296E">
        <w:rPr>
          <w:rFonts w:ascii="Trebuchet MS" w:hAnsi="Trebuchet MS"/>
        </w:rPr>
        <w:t xml:space="preserve"> and components to form part of any building, structure or work arising from </w:t>
      </w:r>
      <w:hyperlink r:id="rId6" w:anchor="construction_work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construction work</w:t>
        </w:r>
      </w:hyperlink>
      <w:r w:rsidRPr="00B3296E">
        <w:rPr>
          <w:rFonts w:ascii="Trebuchet MS" w:hAnsi="Trebuchet MS"/>
        </w:rPr>
        <w:t xml:space="preserve">; </w:t>
      </w:r>
    </w:p>
    <w:p w:rsidR="00B3296E" w:rsidRPr="00B3296E" w:rsidRDefault="00B3296E" w:rsidP="00B3296E">
      <w:pPr>
        <w:pStyle w:val="NormalWeb"/>
        <w:ind w:left="1440" w:hanging="1440"/>
        <w:rPr>
          <w:rFonts w:ascii="Trebuchet MS" w:hAnsi="Trebuchet MS"/>
        </w:rPr>
      </w:pPr>
      <w:r w:rsidRPr="00B3296E">
        <w:rPr>
          <w:rFonts w:ascii="Trebuchet MS" w:hAnsi="Trebuchet MS"/>
        </w:rPr>
        <w:t>              (ii)  </w:t>
      </w:r>
      <w:proofErr w:type="gramStart"/>
      <w:r w:rsidRPr="00B3296E">
        <w:rPr>
          <w:rFonts w:ascii="Trebuchet MS" w:hAnsi="Trebuchet MS"/>
        </w:rPr>
        <w:t>plant</w:t>
      </w:r>
      <w:proofErr w:type="gramEnd"/>
      <w:r w:rsidRPr="00B3296E">
        <w:rPr>
          <w:rFonts w:ascii="Trebuchet MS" w:hAnsi="Trebuchet MS"/>
        </w:rPr>
        <w:t xml:space="preserve"> or materials (whether supplied by sale, hire or otherwise) for use in connection with carrying out </w:t>
      </w:r>
      <w:hyperlink r:id="rId7" w:anchor="construction_work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construction work</w:t>
        </w:r>
      </w:hyperlink>
      <w:r w:rsidRPr="00B3296E">
        <w:rPr>
          <w:rFonts w:ascii="Trebuchet MS" w:hAnsi="Trebuchet MS"/>
        </w:rPr>
        <w:t xml:space="preserve">; and </w:t>
      </w:r>
    </w:p>
    <w:p w:rsidR="00B3296E" w:rsidRPr="00B3296E" w:rsidRDefault="00B3296E" w:rsidP="00B3296E">
      <w:pPr>
        <w:pStyle w:val="NormalWeb"/>
        <w:rPr>
          <w:rFonts w:ascii="Trebuchet MS" w:hAnsi="Trebuchet MS"/>
        </w:rPr>
      </w:pPr>
      <w:r w:rsidRPr="00B3296E">
        <w:rPr>
          <w:rFonts w:ascii="Trebuchet MS" w:hAnsi="Trebuchet MS"/>
        </w:rPr>
        <w:t xml:space="preserve">        (b)     </w:t>
      </w:r>
      <w:proofErr w:type="gramStart"/>
      <w:r w:rsidRPr="00B3296E">
        <w:rPr>
          <w:rFonts w:ascii="Trebuchet MS" w:hAnsi="Trebuchet MS"/>
        </w:rPr>
        <w:t>includes</w:t>
      </w:r>
      <w:proofErr w:type="gramEnd"/>
      <w:r w:rsidRPr="00B3296E">
        <w:rPr>
          <w:rFonts w:ascii="Trebuchet MS" w:hAnsi="Trebuchet MS"/>
        </w:rPr>
        <w:t xml:space="preserve"> services of the following kind: </w:t>
      </w:r>
    </w:p>
    <w:p w:rsidR="00B3296E" w:rsidRPr="00B3296E" w:rsidRDefault="00B3296E" w:rsidP="00B3296E">
      <w:pPr>
        <w:pStyle w:val="NormalWeb"/>
        <w:rPr>
          <w:rFonts w:ascii="Trebuchet MS" w:hAnsi="Trebuchet MS"/>
        </w:rPr>
      </w:pPr>
      <w:r w:rsidRPr="00B3296E">
        <w:rPr>
          <w:rFonts w:ascii="Trebuchet MS" w:hAnsi="Trebuchet MS"/>
        </w:rPr>
        <w:t>              (</w:t>
      </w:r>
      <w:proofErr w:type="spellStart"/>
      <w:r w:rsidRPr="00B3296E">
        <w:rPr>
          <w:rFonts w:ascii="Trebuchet MS" w:hAnsi="Trebuchet MS"/>
        </w:rPr>
        <w:t>i</w:t>
      </w:r>
      <w:proofErr w:type="spellEnd"/>
      <w:r w:rsidRPr="00B3296E">
        <w:rPr>
          <w:rFonts w:ascii="Trebuchet MS" w:hAnsi="Trebuchet MS"/>
        </w:rPr>
        <w:t xml:space="preserve">)   </w:t>
      </w:r>
      <w:proofErr w:type="gramStart"/>
      <w:r w:rsidRPr="00B3296E">
        <w:rPr>
          <w:rFonts w:ascii="Trebuchet MS" w:hAnsi="Trebuchet MS"/>
        </w:rPr>
        <w:t>the</w:t>
      </w:r>
      <w:proofErr w:type="gramEnd"/>
      <w:r w:rsidRPr="00B3296E">
        <w:rPr>
          <w:rFonts w:ascii="Trebuchet MS" w:hAnsi="Trebuchet MS"/>
        </w:rPr>
        <w:t xml:space="preserve"> provision of labour to carry out </w:t>
      </w:r>
      <w:hyperlink r:id="rId8" w:anchor="construction_work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construction work</w:t>
        </w:r>
      </w:hyperlink>
      <w:r w:rsidRPr="00B3296E">
        <w:rPr>
          <w:rFonts w:ascii="Trebuchet MS" w:hAnsi="Trebuchet MS"/>
        </w:rPr>
        <w:t xml:space="preserve">; </w:t>
      </w:r>
    </w:p>
    <w:p w:rsidR="00B3296E" w:rsidRPr="00B3296E" w:rsidRDefault="00B3296E" w:rsidP="00B3296E">
      <w:pPr>
        <w:pStyle w:val="NormalWeb"/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              (ii)  </w:t>
      </w:r>
      <w:proofErr w:type="gramStart"/>
      <w:r w:rsidRPr="00B3296E">
        <w:rPr>
          <w:rFonts w:ascii="Trebuchet MS" w:hAnsi="Trebuchet MS"/>
        </w:rPr>
        <w:t>architectural</w:t>
      </w:r>
      <w:proofErr w:type="gramEnd"/>
      <w:r w:rsidRPr="00B3296E">
        <w:rPr>
          <w:rFonts w:ascii="Trebuchet MS" w:hAnsi="Trebuchet MS"/>
        </w:rPr>
        <w:t xml:space="preserve">, design, surveying or quantity surveying services in relation to </w:t>
      </w:r>
      <w:hyperlink r:id="rId9" w:anchor="construction_work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construction work</w:t>
        </w:r>
      </w:hyperlink>
      <w:r w:rsidRPr="00B3296E">
        <w:rPr>
          <w:rFonts w:ascii="Trebuchet MS" w:hAnsi="Trebuchet MS"/>
        </w:rPr>
        <w:t xml:space="preserve">; </w:t>
      </w:r>
    </w:p>
    <w:p w:rsidR="00B3296E" w:rsidRPr="00B3296E" w:rsidRDefault="00B3296E" w:rsidP="00B3296E">
      <w:pPr>
        <w:pStyle w:val="NormalWeb"/>
        <w:ind w:left="1440" w:hanging="1440"/>
        <w:rPr>
          <w:rFonts w:ascii="Trebuchet MS" w:hAnsi="Trebuchet MS"/>
        </w:rPr>
      </w:pPr>
      <w:r w:rsidRPr="00B3296E">
        <w:rPr>
          <w:rFonts w:ascii="Trebuchet MS" w:hAnsi="Trebuchet MS"/>
        </w:rPr>
        <w:t xml:space="preserve">              (iii) </w:t>
      </w:r>
      <w:proofErr w:type="gramStart"/>
      <w:r w:rsidRPr="00B3296E">
        <w:rPr>
          <w:rFonts w:ascii="Trebuchet MS" w:hAnsi="Trebuchet MS"/>
        </w:rPr>
        <w:t>building</w:t>
      </w:r>
      <w:proofErr w:type="gramEnd"/>
      <w:r w:rsidRPr="00B3296E">
        <w:rPr>
          <w:rFonts w:ascii="Trebuchet MS" w:hAnsi="Trebuchet MS"/>
        </w:rPr>
        <w:t xml:space="preserve">, engineering, interior or exterior decoration or landscape advisory services in relation to </w:t>
      </w:r>
      <w:hyperlink r:id="rId10" w:anchor="construction_work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construction work</w:t>
        </w:r>
      </w:hyperlink>
      <w:r w:rsidRPr="00B3296E">
        <w:rPr>
          <w:rFonts w:ascii="Trebuchet MS" w:hAnsi="Trebuchet MS"/>
        </w:rPr>
        <w:t xml:space="preserve">. </w:t>
      </w:r>
    </w:p>
    <w:p w:rsidR="00B3296E" w:rsidRPr="00B3296E" w:rsidRDefault="00B3296E" w:rsidP="00B3296E">
      <w:pPr>
        <w:pStyle w:val="NormalWeb"/>
        <w:rPr>
          <w:rFonts w:ascii="Trebuchet MS" w:hAnsi="Trebuchet MS"/>
        </w:rPr>
      </w:pPr>
      <w:r w:rsidRPr="00B3296E">
        <w:rPr>
          <w:rFonts w:ascii="Trebuchet MS" w:hAnsi="Trebuchet MS"/>
        </w:rPr>
        <w:t xml:space="preserve">A regulation may provide that goods and services are, or are not, </w:t>
      </w:r>
      <w:hyperlink r:id="rId11" w:anchor="related_goods_and_services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related goods and services</w:t>
        </w:r>
      </w:hyperlink>
      <w:r w:rsidRPr="00B3296E">
        <w:rPr>
          <w:rFonts w:ascii="Trebuchet MS" w:hAnsi="Trebuchet MS"/>
        </w:rPr>
        <w:t xml:space="preserve"> for this Act. </w:t>
      </w:r>
    </w:p>
    <w:p w:rsidR="00B3296E" w:rsidRPr="00B3296E" w:rsidRDefault="00B3296E" w:rsidP="00B3296E">
      <w:pPr>
        <w:pStyle w:val="NormalWeb"/>
        <w:rPr>
          <w:rFonts w:ascii="Trebuchet MS" w:hAnsi="Trebuchet MS"/>
        </w:rPr>
      </w:pPr>
      <w:r w:rsidRPr="00B3296E">
        <w:rPr>
          <w:rFonts w:ascii="Trebuchet MS" w:hAnsi="Trebuchet MS"/>
        </w:rPr>
        <w:t xml:space="preserve">In this Act, a reference to </w:t>
      </w:r>
      <w:hyperlink r:id="rId12" w:anchor="related_goods_and_services" w:history="1">
        <w:r w:rsidRPr="00B3296E">
          <w:rPr>
            <w:rStyle w:val="Hyperlink"/>
            <w:rFonts w:ascii="Trebuchet MS" w:hAnsi="Trebuchet MS"/>
            <w:color w:val="auto"/>
            <w:u w:val="none"/>
          </w:rPr>
          <w:t>related goods and services</w:t>
        </w:r>
      </w:hyperlink>
      <w:r w:rsidRPr="00B3296E">
        <w:rPr>
          <w:rFonts w:ascii="Trebuchet MS" w:hAnsi="Trebuchet MS"/>
        </w:rPr>
        <w:t xml:space="preserve"> includes a reference to related goods or services. </w:t>
      </w:r>
    </w:p>
    <w:p w:rsidR="006D7249" w:rsidRPr="00B3296E" w:rsidRDefault="00B3296E">
      <w:pPr>
        <w:rPr>
          <w:rFonts w:ascii="Trebuchet MS" w:hAnsi="Trebuchet MS"/>
        </w:rPr>
      </w:pPr>
      <w:bookmarkStart w:id="0" w:name="_GoBack"/>
      <w:bookmarkEnd w:id="0"/>
    </w:p>
    <w:sectPr w:rsidR="006D7249" w:rsidRPr="00B3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6E"/>
    <w:rsid w:val="00393067"/>
    <w:rsid w:val="00B3296E"/>
    <w:rsid w:val="00B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32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3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act/consol_act/baciopa2009606/s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act/consol_act/baciopa2009606/s7.html" TargetMode="External"/><Relationship Id="rId12" Type="http://schemas.openxmlformats.org/officeDocument/2006/relationships/hyperlink" Target="http://www.austlii.edu.au/au/legis/act/consol_act/baciopa2009606/s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lii.edu.au/au/legis/act/consol_act/baciopa2009606/s7.html" TargetMode="External"/><Relationship Id="rId11" Type="http://schemas.openxmlformats.org/officeDocument/2006/relationships/hyperlink" Target="http://www.austlii.edu.au/au/legis/act/consol_act/baciopa2009606/s8.html" TargetMode="External"/><Relationship Id="rId5" Type="http://schemas.openxmlformats.org/officeDocument/2006/relationships/hyperlink" Target="http://www.austlii.edu.au/au/legis/act/consol_act/baciopa2009606/s7.html" TargetMode="External"/><Relationship Id="rId10" Type="http://schemas.openxmlformats.org/officeDocument/2006/relationships/hyperlink" Target="http://www.austlii.edu.au/au/legis/act/consol_act/baciopa2009606/s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au/legis/act/consol_act/baciopa2009606/s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2013-12-06T01:28:00Z</dcterms:created>
  <dcterms:modified xsi:type="dcterms:W3CDTF">2013-12-06T01:31:00Z</dcterms:modified>
</cp:coreProperties>
</file>